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7" w:type="dxa"/>
        <w:tblCellMar>
          <w:top w:w="60" w:type="dxa"/>
          <w:left w:w="60" w:type="dxa"/>
          <w:bottom w:w="60" w:type="dxa"/>
          <w:right w:w="60" w:type="dxa"/>
        </w:tblCellMar>
        <w:tblLook w:val="04A0"/>
      </w:tblPr>
      <w:tblGrid>
        <w:gridCol w:w="9786"/>
      </w:tblGrid>
      <w:tr w:rsidR="00DB76F8" w:rsidRPr="00DB76F8" w:rsidTr="00DB76F8">
        <w:trPr>
          <w:tblCellSpacing w:w="7" w:type="dxa"/>
        </w:trPr>
        <w:tc>
          <w:tcPr>
            <w:tcW w:w="0" w:type="auto"/>
            <w:vAlign w:val="center"/>
            <w:hideMark/>
          </w:tcPr>
          <w:p w:rsidR="00DB76F8" w:rsidRPr="00DB76F8" w:rsidRDefault="00DB76F8" w:rsidP="00DB76F8">
            <w:pPr>
              <w:jc w:val="center"/>
              <w:rPr>
                <w:rFonts w:ascii="Times New Roman" w:eastAsia="Times New Roman" w:hAnsi="Times New Roman" w:cs="Times New Roman"/>
                <w:b/>
                <w:bCs/>
                <w:szCs w:val="24"/>
                <w:lang w:eastAsia="it-IT"/>
              </w:rPr>
            </w:pPr>
            <w:r w:rsidRPr="00DB76F8">
              <w:rPr>
                <w:rFonts w:ascii="Times New Roman" w:eastAsia="Times New Roman" w:hAnsi="Times New Roman" w:cs="Times New Roman"/>
                <w:b/>
                <w:bCs/>
                <w:szCs w:val="24"/>
                <w:lang w:eastAsia="it-IT"/>
              </w:rPr>
              <w:t xml:space="preserve">Patto stabilità - </w:t>
            </w:r>
            <w:proofErr w:type="spellStart"/>
            <w:r w:rsidRPr="00DB76F8">
              <w:rPr>
                <w:rFonts w:ascii="Times New Roman" w:eastAsia="Times New Roman" w:hAnsi="Times New Roman" w:cs="Times New Roman"/>
                <w:b/>
                <w:bCs/>
                <w:szCs w:val="24"/>
                <w:lang w:eastAsia="it-IT"/>
              </w:rPr>
              <w:t>Domenici</w:t>
            </w:r>
            <w:proofErr w:type="spellEnd"/>
            <w:r w:rsidRPr="00DB76F8">
              <w:rPr>
                <w:rFonts w:ascii="Times New Roman" w:eastAsia="Times New Roman" w:hAnsi="Times New Roman" w:cs="Times New Roman"/>
                <w:b/>
                <w:bCs/>
                <w:szCs w:val="24"/>
                <w:lang w:eastAsia="it-IT"/>
              </w:rPr>
              <w:t xml:space="preserve">, su problematiche servono chiarimenti. Comuni aperti a confronto </w:t>
            </w:r>
          </w:p>
        </w:tc>
      </w:tr>
    </w:tbl>
    <w:p w:rsidR="00DB76F8" w:rsidRPr="00DB76F8" w:rsidRDefault="00DB76F8" w:rsidP="00DB76F8">
      <w:pPr>
        <w:spacing w:after="240"/>
        <w:jc w:val="both"/>
        <w:rPr>
          <w:rFonts w:ascii="Times New Roman" w:eastAsia="Times New Roman" w:hAnsi="Times New Roman" w:cs="Times New Roman"/>
          <w:szCs w:val="24"/>
          <w:lang w:eastAsia="it-IT"/>
        </w:rPr>
      </w:pPr>
      <w:r w:rsidRPr="00DB76F8">
        <w:rPr>
          <w:rFonts w:ascii="Times New Roman" w:eastAsia="Times New Roman" w:hAnsi="Times New Roman" w:cs="Times New Roman"/>
          <w:szCs w:val="24"/>
          <w:lang w:eastAsia="it-IT"/>
        </w:rPr>
        <w:br/>
        <w:t xml:space="preserve">[28-11-2008] </w:t>
      </w:r>
    </w:p>
    <w:p w:rsidR="00DB76F8" w:rsidRPr="00DB76F8" w:rsidRDefault="00DB76F8" w:rsidP="00DB76F8">
      <w:pPr>
        <w:jc w:val="both"/>
        <w:rPr>
          <w:rFonts w:ascii="Times New Roman" w:eastAsia="Times New Roman" w:hAnsi="Times New Roman" w:cs="Times New Roman"/>
          <w:szCs w:val="24"/>
          <w:lang w:eastAsia="it-IT"/>
        </w:rPr>
      </w:pPr>
      <w:r w:rsidRPr="00DB76F8">
        <w:rPr>
          <w:rFonts w:ascii="Verdana" w:eastAsia="Times New Roman" w:hAnsi="Verdana" w:cs="Times New Roman"/>
          <w:sz w:val="20"/>
          <w:szCs w:val="20"/>
          <w:lang w:eastAsia="it-IT"/>
        </w:rPr>
        <w:t xml:space="preserve">Sul patto di stabilità interno le problematiche sono sempre più marcate per l’entità dell’obiettivo di miglioramento dei saldi assegnato ai Comuni, per il taglio delle entrate trasferite per il blocco delle addizionali e delle aliquote, ma anche per gli effetti delle disposizioni che stabiliscono la neutralizzazione delle entrate straordinarie. La denuncia arriva dal Presidente dell’Associazione, Leonardo </w:t>
      </w:r>
      <w:proofErr w:type="spellStart"/>
      <w:r w:rsidRPr="00DB76F8">
        <w:rPr>
          <w:rFonts w:ascii="Verdana" w:eastAsia="Times New Roman" w:hAnsi="Verdana" w:cs="Times New Roman"/>
          <w:sz w:val="20"/>
          <w:szCs w:val="20"/>
          <w:lang w:eastAsia="it-IT"/>
        </w:rPr>
        <w:t>Domenici</w:t>
      </w:r>
      <w:proofErr w:type="spellEnd"/>
      <w:r w:rsidRPr="00DB76F8">
        <w:rPr>
          <w:rFonts w:ascii="Verdana" w:eastAsia="Times New Roman" w:hAnsi="Verdana" w:cs="Times New Roman"/>
          <w:sz w:val="20"/>
          <w:szCs w:val="20"/>
          <w:lang w:eastAsia="it-IT"/>
        </w:rPr>
        <w:t xml:space="preserve"> in una lettera ai Presidenti della Commissione Bilancio del Senato, Antonio </w:t>
      </w:r>
      <w:proofErr w:type="spellStart"/>
      <w:r w:rsidRPr="00DB76F8">
        <w:rPr>
          <w:rFonts w:ascii="Verdana" w:eastAsia="Times New Roman" w:hAnsi="Verdana" w:cs="Times New Roman"/>
          <w:sz w:val="20"/>
          <w:szCs w:val="20"/>
          <w:lang w:eastAsia="it-IT"/>
        </w:rPr>
        <w:t>Azzolini</w:t>
      </w:r>
      <w:proofErr w:type="spellEnd"/>
      <w:r w:rsidRPr="00DB76F8">
        <w:rPr>
          <w:rFonts w:ascii="Verdana" w:eastAsia="Times New Roman" w:hAnsi="Verdana" w:cs="Times New Roman"/>
          <w:sz w:val="20"/>
          <w:szCs w:val="20"/>
          <w:lang w:eastAsia="it-IT"/>
        </w:rPr>
        <w:t xml:space="preserve"> e della Commissione Finanze, Mario Baldassarri. </w:t>
      </w:r>
    </w:p>
    <w:p w:rsidR="00DB76F8" w:rsidRPr="00DB76F8" w:rsidRDefault="00DB76F8" w:rsidP="00DB76F8">
      <w:pPr>
        <w:jc w:val="both"/>
        <w:rPr>
          <w:rFonts w:ascii="Times New Roman" w:eastAsia="Times New Roman" w:hAnsi="Times New Roman" w:cs="Times New Roman"/>
          <w:szCs w:val="24"/>
          <w:lang w:eastAsia="it-IT"/>
        </w:rPr>
      </w:pPr>
      <w:r w:rsidRPr="00DB76F8">
        <w:rPr>
          <w:rFonts w:ascii="Verdana" w:eastAsia="Times New Roman" w:hAnsi="Verdana" w:cs="Times New Roman"/>
          <w:sz w:val="20"/>
          <w:szCs w:val="20"/>
          <w:lang w:eastAsia="it-IT"/>
        </w:rPr>
        <w:t>Si ricorda che la formulazione del comma 8 dell’art. 77 bis del decreto legge 112, licenziato dalla Camera dei Deputati, prevede che le risorse derivanti dalla cessione del patrimonio mobiliare e immobiliare e quelle derivanti dalla distribuzione dei dividendi derivanti da operazioni straordinarie delle società quotate sui mercati regolamentati non siano conteggiate nella base assunta nel 2007 a riferimento per l’individuazione degli obiettivi e dei saldi utili per il rispetto del patto di stabilità interno. La lettera della norma induce a ritenere che queste entrate siano escluse solo dalla base di calcolo 2007.</w:t>
      </w:r>
    </w:p>
    <w:p w:rsidR="00DB76F8" w:rsidRPr="00DB76F8" w:rsidRDefault="00DB76F8" w:rsidP="00DB76F8">
      <w:pPr>
        <w:jc w:val="both"/>
        <w:rPr>
          <w:rFonts w:ascii="Times New Roman" w:eastAsia="Times New Roman" w:hAnsi="Times New Roman" w:cs="Times New Roman"/>
          <w:szCs w:val="24"/>
          <w:lang w:eastAsia="it-IT"/>
        </w:rPr>
      </w:pPr>
      <w:r w:rsidRPr="00DB76F8">
        <w:rPr>
          <w:rFonts w:ascii="Verdana" w:eastAsia="Times New Roman" w:hAnsi="Verdana" w:cs="Times New Roman"/>
          <w:sz w:val="20"/>
          <w:szCs w:val="20"/>
          <w:lang w:eastAsia="it-IT"/>
        </w:rPr>
        <w:t>Nel corso della discussione in Aula, l’ordine del giorno 9/1713/95 è stato accolto solo come raccomandazione</w:t>
      </w:r>
      <w:r w:rsidRPr="00DB76F8">
        <w:rPr>
          <w:rFonts w:ascii="Verdana" w:eastAsia="Times New Roman" w:hAnsi="Verdana" w:cs="Times New Roman"/>
          <w:b/>
          <w:bCs/>
          <w:sz w:val="20"/>
          <w:lang w:eastAsia="it-IT"/>
        </w:rPr>
        <w:t xml:space="preserve"> </w:t>
      </w:r>
      <w:r w:rsidRPr="00DB76F8">
        <w:rPr>
          <w:rFonts w:ascii="Verdana" w:eastAsia="Times New Roman" w:hAnsi="Verdana" w:cs="Times New Roman"/>
          <w:sz w:val="20"/>
          <w:szCs w:val="20"/>
          <w:lang w:eastAsia="it-IT"/>
        </w:rPr>
        <w:t>in quanto ritenuto “divergente” rispetto all’interpretazione della norma.</w:t>
      </w:r>
    </w:p>
    <w:p w:rsidR="00DB76F8" w:rsidRPr="00DB76F8" w:rsidRDefault="00DB76F8" w:rsidP="00DB76F8">
      <w:pPr>
        <w:jc w:val="both"/>
        <w:rPr>
          <w:rFonts w:ascii="Times New Roman" w:eastAsia="Times New Roman" w:hAnsi="Times New Roman" w:cs="Times New Roman"/>
          <w:szCs w:val="24"/>
          <w:lang w:eastAsia="it-IT"/>
        </w:rPr>
      </w:pPr>
      <w:r w:rsidRPr="00DB76F8">
        <w:rPr>
          <w:rFonts w:ascii="Verdana" w:eastAsia="Times New Roman" w:hAnsi="Verdana" w:cs="Times New Roman"/>
          <w:sz w:val="20"/>
          <w:szCs w:val="20"/>
          <w:lang w:eastAsia="it-IT"/>
        </w:rPr>
        <w:t xml:space="preserve">Il chiarimento fornito ai Comuni dal Ministero dell’Economia e delle Finanze è di eliminare le entrate straordinarie sia dalla base di calcolo che dai saldi utili ai fini del rispetto del patto. In questo caso la nuova formulazione del comma 8 opererebbe una mera estensione delle fattispecie interessate alla neutralizzazione, mantenendo operò effetti divergenti per i Comuni nel calcolo dell’obiettivo. Infatti la norma fa si che per coloro che hanno concluso operazioni “straordinarie” nell’anno 2007 il provvedimento alleggerisca molto la manovra, mentre per coloro che hanno in programma di farne, le disposizioni peggiorano molto la situazione in quanto non consentono di utilizzare tali entrate per migliorare il saldo. </w:t>
      </w:r>
    </w:p>
    <w:p w:rsidR="00DB76F8" w:rsidRPr="00DB76F8" w:rsidRDefault="00DB76F8" w:rsidP="00DB76F8">
      <w:pPr>
        <w:jc w:val="both"/>
        <w:rPr>
          <w:rFonts w:ascii="Times New Roman" w:eastAsia="Times New Roman" w:hAnsi="Times New Roman" w:cs="Times New Roman"/>
          <w:szCs w:val="24"/>
          <w:lang w:eastAsia="it-IT"/>
        </w:rPr>
      </w:pPr>
      <w:r w:rsidRPr="00DB76F8">
        <w:rPr>
          <w:rFonts w:ascii="Verdana" w:eastAsia="Times New Roman" w:hAnsi="Verdana" w:cs="Times New Roman"/>
          <w:sz w:val="20"/>
          <w:szCs w:val="20"/>
          <w:lang w:eastAsia="it-IT"/>
        </w:rPr>
        <w:t>Per l’ANCI questa disposizione, così interpretata, “non solo rischia di rallentare fortemente la spesa in conto capitale, che non può essere più compensata da entrate straordinarie, ma rischia anche di vanificare gli effetti positivi dell’art.58 del provvedimento volto a facilitare le dismissioni del patrimonio pubblico. Infatti i Comuni non avranno nessun interesse a mettere in atto queste strategie qualora tali entrate non possono essere utilizzate per migliorare i saldi, abbassare lo stock di debito e finanziare investimenti; la valorizzazione del patrimonio potrebbe generare entrate per 6-10 miliardi di euro”.</w:t>
      </w:r>
    </w:p>
    <w:p w:rsidR="00DB76F8" w:rsidRPr="00DB76F8" w:rsidRDefault="00DB76F8" w:rsidP="00DB76F8">
      <w:pPr>
        <w:jc w:val="both"/>
        <w:rPr>
          <w:rFonts w:ascii="Times New Roman" w:eastAsia="Times New Roman" w:hAnsi="Times New Roman" w:cs="Times New Roman"/>
          <w:szCs w:val="24"/>
          <w:lang w:eastAsia="it-IT"/>
        </w:rPr>
      </w:pPr>
      <w:r w:rsidRPr="00DB76F8">
        <w:rPr>
          <w:rFonts w:ascii="Verdana" w:eastAsia="Times New Roman" w:hAnsi="Verdana" w:cs="Times New Roman"/>
          <w:sz w:val="20"/>
          <w:szCs w:val="20"/>
          <w:lang w:eastAsia="it-IT"/>
        </w:rPr>
        <w:t>Secondo l’ANCI è urgente un immediato chiarimento sulle modalità di applicazione del comma 8 e l’Associazione avanza alcune soluzioni possibili: per i Comuni si potrebbe “rendere facoltativo il comma 8, ciò permette agli Enti, in base alle loro realtà di bilancio, di decidere se applicare il comma 8, quindi non far rientrare nei saldi le risorse straordinarie, oppure mantenerle nei loro saldi in quanto prevedono di fare operazioni straordinarie per il triennio 2009/2011.</w:t>
      </w:r>
    </w:p>
    <w:p w:rsidR="00DB76F8" w:rsidRPr="00DB76F8" w:rsidRDefault="00DB76F8" w:rsidP="00DB76F8">
      <w:pPr>
        <w:jc w:val="both"/>
        <w:rPr>
          <w:rFonts w:ascii="Times New Roman" w:eastAsia="Times New Roman" w:hAnsi="Times New Roman" w:cs="Times New Roman"/>
          <w:szCs w:val="24"/>
          <w:lang w:eastAsia="it-IT"/>
        </w:rPr>
      </w:pPr>
      <w:r w:rsidRPr="00DB76F8">
        <w:rPr>
          <w:rFonts w:ascii="Verdana" w:eastAsia="Times New Roman" w:hAnsi="Verdana" w:cs="Times New Roman"/>
          <w:sz w:val="20"/>
          <w:szCs w:val="20"/>
          <w:lang w:eastAsia="it-IT"/>
        </w:rPr>
        <w:t xml:space="preserve">In alternativa – evidenzia l’Associazione - si propone che le risorse citate nel comma 8 siano escluse solamente dalla base utilizzata per la determinazione degli obiettivi”. </w:t>
      </w:r>
    </w:p>
    <w:p w:rsidR="00DB76F8" w:rsidRPr="00DB76F8" w:rsidRDefault="00DB76F8" w:rsidP="00DB76F8">
      <w:pPr>
        <w:jc w:val="both"/>
        <w:rPr>
          <w:rFonts w:ascii="Times New Roman" w:eastAsia="Times New Roman" w:hAnsi="Times New Roman" w:cs="Times New Roman"/>
          <w:szCs w:val="24"/>
          <w:lang w:eastAsia="it-IT"/>
        </w:rPr>
      </w:pPr>
      <w:r w:rsidRPr="00DB76F8">
        <w:rPr>
          <w:rFonts w:ascii="Verdana" w:eastAsia="Times New Roman" w:hAnsi="Verdana" w:cs="Times New Roman"/>
          <w:sz w:val="20"/>
          <w:szCs w:val="20"/>
          <w:lang w:eastAsia="it-IT"/>
        </w:rPr>
        <w:t xml:space="preserve">Il Presidente </w:t>
      </w:r>
      <w:proofErr w:type="spellStart"/>
      <w:r w:rsidRPr="00DB76F8">
        <w:rPr>
          <w:rFonts w:ascii="Verdana" w:eastAsia="Times New Roman" w:hAnsi="Verdana" w:cs="Times New Roman"/>
          <w:sz w:val="20"/>
          <w:szCs w:val="20"/>
          <w:lang w:eastAsia="it-IT"/>
        </w:rPr>
        <w:t>Domenici</w:t>
      </w:r>
      <w:proofErr w:type="spellEnd"/>
      <w:r w:rsidRPr="00DB76F8">
        <w:rPr>
          <w:rFonts w:ascii="Verdana" w:eastAsia="Times New Roman" w:hAnsi="Verdana" w:cs="Times New Roman"/>
          <w:sz w:val="20"/>
          <w:szCs w:val="20"/>
          <w:lang w:eastAsia="it-IT"/>
        </w:rPr>
        <w:t xml:space="preserve"> sottolinea che “la copertura finanziaria necessaria all’introduzione della facoltatività del comma 8 è sicuramente meno ingente di quella necessaria per compensare l’eliminazione dalla base di calcolo delle entrate in questione” e infine conferma ai due Presidenti delle Commissioni del Senato “la disponibilità dell’ANCI ad ogni confronto”. (</w:t>
      </w:r>
      <w:proofErr w:type="spellStart"/>
      <w:r w:rsidRPr="00DB76F8">
        <w:rPr>
          <w:rFonts w:ascii="Verdana" w:eastAsia="Times New Roman" w:hAnsi="Verdana" w:cs="Times New Roman"/>
          <w:sz w:val="20"/>
          <w:szCs w:val="20"/>
          <w:lang w:eastAsia="it-IT"/>
        </w:rPr>
        <w:t>fr</w:t>
      </w:r>
      <w:proofErr w:type="spellEnd"/>
      <w:r w:rsidRPr="00DB76F8">
        <w:rPr>
          <w:rFonts w:ascii="Verdana" w:eastAsia="Times New Roman" w:hAnsi="Verdana" w:cs="Times New Roman"/>
          <w:sz w:val="20"/>
          <w:szCs w:val="20"/>
          <w:lang w:eastAsia="it-IT"/>
        </w:rPr>
        <w:t xml:space="preserve">) </w:t>
      </w:r>
    </w:p>
    <w:p w:rsidR="00DB76F8" w:rsidRPr="00DB76F8" w:rsidRDefault="00DB76F8" w:rsidP="00DB76F8">
      <w:pPr>
        <w:spacing w:after="240"/>
        <w:jc w:val="both"/>
        <w:rPr>
          <w:rFonts w:ascii="Times New Roman" w:eastAsia="Times New Roman" w:hAnsi="Times New Roman" w:cs="Times New Roman"/>
          <w:szCs w:val="24"/>
          <w:lang w:eastAsia="it-IT"/>
        </w:rPr>
      </w:pPr>
    </w:p>
    <w:p w:rsidR="00BC6938" w:rsidRDefault="00BC6938"/>
    <w:sectPr w:rsidR="00BC6938" w:rsidSect="00BC6938">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DB76F8"/>
    <w:rsid w:val="00387BB6"/>
    <w:rsid w:val="00B46D25"/>
    <w:rsid w:val="00BC6938"/>
    <w:rsid w:val="00DB76F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Book Antiqua" w:eastAsiaTheme="minorHAnsi" w:hAnsi="Book Antiqua" w:cstheme="minorBidi"/>
        <w:sz w:val="24"/>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C693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grassetto">
    <w:name w:val="Strong"/>
    <w:basedOn w:val="Carpredefinitoparagrafo"/>
    <w:uiPriority w:val="22"/>
    <w:qFormat/>
    <w:rsid w:val="00DB76F8"/>
    <w:rPr>
      <w:b/>
      <w:bCs/>
    </w:rPr>
  </w:style>
</w:styles>
</file>

<file path=word/webSettings.xml><?xml version="1.0" encoding="utf-8"?>
<w:webSettings xmlns:r="http://schemas.openxmlformats.org/officeDocument/2006/relationships" xmlns:w="http://schemas.openxmlformats.org/wordprocessingml/2006/main">
  <w:divs>
    <w:div w:id="120752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573</Words>
  <Characters>3267</Characters>
  <Application>Microsoft Office Word</Application>
  <DocSecurity>0</DocSecurity>
  <Lines>27</Lines>
  <Paragraphs>7</Paragraphs>
  <ScaleCrop>false</ScaleCrop>
  <Company>intel</Company>
  <LinksUpToDate>false</LinksUpToDate>
  <CharactersWithSpaces>3833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pentium</dc:creator>
  <cp:keywords/>
  <dc:description/>
  <cp:lastModifiedBy>pentium</cp:lastModifiedBy>
  <cp:revision>1</cp:revision>
  <dcterms:created xsi:type="dcterms:W3CDTF">2008-11-29T08:07:00Z</dcterms:created>
  <dcterms:modified xsi:type="dcterms:W3CDTF">2008-11-29T08:07:00Z</dcterms:modified>
</cp:coreProperties>
</file>